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7C6B" w14:textId="4C52BCA5" w:rsidR="00E04147" w:rsidRPr="00E04147" w:rsidRDefault="00E04147" w:rsidP="00E04147">
      <w:pPr>
        <w:rPr>
          <w:b/>
          <w:bCs/>
          <w:sz w:val="28"/>
          <w:szCs w:val="28"/>
          <w:lang w:val="ru-KZ"/>
        </w:rPr>
      </w:pPr>
      <w:r w:rsidRPr="00E04147">
        <w:rPr>
          <w:b/>
          <w:bCs/>
          <w:sz w:val="28"/>
          <w:szCs w:val="28"/>
          <w:lang w:val="ru-KZ"/>
        </w:rPr>
        <w:t>Главные провалы в бизнесе, вызванные неадекватностью систем риск-менеджмента</w:t>
      </w:r>
    </w:p>
    <w:p w14:paraId="0DED21AC" w14:textId="6697C0CE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Так же как и правила техники безопасности, развитие правил и принципов риск-менеджмента идет через болезненные провалы. Особенно это заметно в банковской сфере: большая долговая нагрузка, в таких условиях адаптация и гибкость практически невозможны. Банки обладают довольно низким риск-аппетитом. Риск-аппетит – склонность к принятию рисков. Высокому риск-аппетиту должна соответствовать высокая скорость реакции на изменения среды. Если это правило нарушается, то возникает болезненный провал.</w:t>
      </w:r>
    </w:p>
    <w:p w14:paraId="5D318485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Интересно, что если рассматривать как изменяется в процессе жизни риск-аппетит отдельного человека, то можно выявить закономерности:</w:t>
      </w:r>
    </w:p>
    <w:p w14:paraId="4FB5D5A1" w14:textId="2BDAFAEB" w:rsidR="00E04147" w:rsidRPr="00E04147" w:rsidRDefault="00E04147" w:rsidP="00E04147">
      <w:pPr>
        <w:jc w:val="center"/>
        <w:rPr>
          <w:lang w:val="ru-KZ"/>
        </w:rPr>
      </w:pPr>
      <w:r w:rsidRPr="00E04147">
        <w:rPr>
          <w:lang w:val="ru-KZ"/>
        </w:rPr>
        <w:drawing>
          <wp:inline distT="0" distB="0" distL="0" distR="0" wp14:anchorId="19112323" wp14:editId="382EFA7A">
            <wp:extent cx="2346840" cy="2423160"/>
            <wp:effectExtent l="0" t="0" r="0" b="0"/>
            <wp:docPr id="240622549" name="Рисунок 4" descr="Риск-аппет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иск-аппет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069" cy="242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1703C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где а – возраст 15-23 года, высокий риск-аппетит;</w:t>
      </w:r>
    </w:p>
    <w:p w14:paraId="36CB731B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в – средний возраст, наиболее низкий риск-аппетит;</w:t>
      </w:r>
    </w:p>
    <w:p w14:paraId="360BAD53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с – старший возраст, выше 50 лет, высокий риск-аппетит.</w:t>
      </w:r>
    </w:p>
    <w:p w14:paraId="79050CCF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Но если отдельный человек, рискуя, ставит под удар только себя самого, то являясь сотрудником компании, он может стать источником риска не только лично себя, но и компании в целом.</w:t>
      </w:r>
    </w:p>
    <w:p w14:paraId="51C9623A" w14:textId="77777777" w:rsidR="00E04147" w:rsidRPr="00E04147" w:rsidRDefault="00E04147" w:rsidP="00E04147">
      <w:pPr>
        <w:rPr>
          <w:b/>
          <w:bCs/>
          <w:lang w:val="ru-KZ"/>
        </w:rPr>
      </w:pPr>
      <w:r w:rsidRPr="00E04147">
        <w:rPr>
          <w:b/>
          <w:bCs/>
          <w:lang w:val="ru-KZ"/>
        </w:rPr>
        <w:t>Убытки «Sumitomo»</w:t>
      </w:r>
    </w:p>
    <w:p w14:paraId="35CA1CD1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Афера Ясуо </w:t>
      </w:r>
      <w:proofErr w:type="spellStart"/>
      <w:r w:rsidRPr="00E04147">
        <w:rPr>
          <w:lang w:val="ru-KZ"/>
        </w:rPr>
        <w:t>Хаманака</w:t>
      </w:r>
      <w:proofErr w:type="spellEnd"/>
      <w:r w:rsidRPr="00E04147">
        <w:rPr>
          <w:lang w:val="ru-KZ"/>
        </w:rPr>
        <w:t xml:space="preserve">, медного трейдера одной из пяти самых богатых торговых корпораций Японии «Сумитомо», попала на первые полосы мировой прессы. По официальному заявлению руководства «Сумитомо», за десять лет своей деятельности </w:t>
      </w:r>
      <w:proofErr w:type="spellStart"/>
      <w:r w:rsidRPr="00E04147">
        <w:rPr>
          <w:lang w:val="ru-KZ"/>
        </w:rPr>
        <w:t>Хаманака</w:t>
      </w:r>
      <w:proofErr w:type="spellEnd"/>
      <w:r w:rsidRPr="00E04147">
        <w:rPr>
          <w:lang w:val="ru-KZ"/>
        </w:rPr>
        <w:t xml:space="preserve"> нанес компании колоссальные убытки – 2,6 млрд долл. Большинство рыночных экспертов склоняются к мысли, что реальная цифра убытков значительно выше.</w:t>
      </w:r>
    </w:p>
    <w:p w14:paraId="25C05E49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Ясуо </w:t>
      </w:r>
      <w:proofErr w:type="spellStart"/>
      <w:r w:rsidRPr="00E04147">
        <w:rPr>
          <w:lang w:val="ru-KZ"/>
        </w:rPr>
        <w:t>Хаманака</w:t>
      </w:r>
      <w:proofErr w:type="spellEnd"/>
      <w:r w:rsidRPr="00E04147">
        <w:rPr>
          <w:lang w:val="ru-KZ"/>
        </w:rPr>
        <w:t xml:space="preserve"> считался «королем медного рынка», он имел безупречную репутации и пользовался полным доверием компании. Руководство видело в нем профессионала и трудоголика, а самое главное – трейдера, приносящего высокую прибыль. Ясуо нередко </w:t>
      </w:r>
      <w:r w:rsidRPr="00E04147">
        <w:rPr>
          <w:lang w:val="ru-KZ"/>
        </w:rPr>
        <w:lastRenderedPageBreak/>
        <w:t xml:space="preserve">засиживался на работе до трех часов ночи, ожидая закрытия рынков цветных металлов в Лондоне и Нью-Йорке. Коллегам </w:t>
      </w:r>
      <w:proofErr w:type="spellStart"/>
      <w:r w:rsidRPr="00E04147">
        <w:rPr>
          <w:lang w:val="ru-KZ"/>
        </w:rPr>
        <w:t>Хаманака</w:t>
      </w:r>
      <w:proofErr w:type="spellEnd"/>
      <w:r w:rsidRPr="00E04147">
        <w:rPr>
          <w:lang w:val="ru-KZ"/>
        </w:rPr>
        <w:t xml:space="preserve"> был широко известен как «Мистер медь» или «Мистер пять процентов» (именно такую долю мирового рынка меди он контролировал).</w:t>
      </w:r>
    </w:p>
    <w:p w14:paraId="5FEDE09F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В начале девяностых годов стараниями Ясуо </w:t>
      </w:r>
      <w:proofErr w:type="spellStart"/>
      <w:r w:rsidRPr="00E04147">
        <w:rPr>
          <w:lang w:val="ru-KZ"/>
        </w:rPr>
        <w:t>Хаманаки</w:t>
      </w:r>
      <w:proofErr w:type="spellEnd"/>
      <w:r w:rsidRPr="00E04147">
        <w:rPr>
          <w:lang w:val="ru-KZ"/>
        </w:rPr>
        <w:t xml:space="preserve"> наблюдался устойчивый рост цен на медь. План был прост, как все гениальное: создать на рынке дефицит, скупив огромное количество металла (запасы </w:t>
      </w:r>
      <w:proofErr w:type="spellStart"/>
      <w:r w:rsidRPr="00E04147">
        <w:rPr>
          <w:lang w:val="ru-KZ"/>
        </w:rPr>
        <w:t>Хаманака</w:t>
      </w:r>
      <w:proofErr w:type="spellEnd"/>
      <w:r w:rsidRPr="00E04147">
        <w:rPr>
          <w:lang w:val="ru-KZ"/>
        </w:rPr>
        <w:t xml:space="preserve"> составят в итоге около 2 млн тонн), а когда цены взлетят, продать его с большой выгодой. Эта грандиозная спекуляция действительно позволяла превращать медь в золото. В течение пяти лет Ясуо </w:t>
      </w:r>
      <w:proofErr w:type="spellStart"/>
      <w:r w:rsidRPr="00E04147">
        <w:rPr>
          <w:lang w:val="ru-KZ"/>
        </w:rPr>
        <w:t>Хаманака</w:t>
      </w:r>
      <w:proofErr w:type="spellEnd"/>
      <w:r w:rsidRPr="00E04147">
        <w:rPr>
          <w:lang w:val="ru-KZ"/>
        </w:rPr>
        <w:t xml:space="preserve"> в одиночку держал искусственные цены на медь во всем мире. В результате некоторые добывающие компании начали разработку новых месторождений с высокой себестоимостью добычи.</w:t>
      </w:r>
    </w:p>
    <w:p w14:paraId="43CF2641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Скупая медные контракты, </w:t>
      </w:r>
      <w:proofErr w:type="spellStart"/>
      <w:r w:rsidRPr="00E04147">
        <w:rPr>
          <w:lang w:val="ru-KZ"/>
        </w:rPr>
        <w:t>Хаманака</w:t>
      </w:r>
      <w:proofErr w:type="spellEnd"/>
      <w:r w:rsidRPr="00E04147">
        <w:rPr>
          <w:lang w:val="ru-KZ"/>
        </w:rPr>
        <w:t xml:space="preserve"> затем их придерживал. В результате рыночный спрос опережал предложение, ажиотаж поднимал цены. Разумеется, чтобы удерживать постоянный дефицит, трейдеру требовалось больше металла, чем это было указано в официальных документах. Недолго думая, он принялся скупать медь нелегально. Но чем выше были биржевые цены, тем больше запасов требовалось, чтобы поддержать дефицит на нужном уровне. В конце концов </w:t>
      </w:r>
      <w:proofErr w:type="spellStart"/>
      <w:r w:rsidRPr="00E04147">
        <w:rPr>
          <w:lang w:val="ru-KZ"/>
        </w:rPr>
        <w:t>Хаманаке</w:t>
      </w:r>
      <w:proofErr w:type="spellEnd"/>
      <w:r w:rsidRPr="00E04147">
        <w:rPr>
          <w:lang w:val="ru-KZ"/>
        </w:rPr>
        <w:t xml:space="preserve"> приходилось, продав одну тонну, немедленно покупать две. Речь шла уже не о прибыли, а о том, чтобы афера не выплыла наружу. «Мистер пять процентов» на самом деле был по крайней мере «Мистером восемь процентов».</w:t>
      </w:r>
    </w:p>
    <w:p w14:paraId="7CFB5411" w14:textId="77777777" w:rsidR="00E04147" w:rsidRPr="00E04147" w:rsidRDefault="00E04147" w:rsidP="00E04147">
      <w:pPr>
        <w:rPr>
          <w:b/>
          <w:bCs/>
          <w:lang w:val="ru-KZ"/>
        </w:rPr>
      </w:pPr>
      <w:r w:rsidRPr="00E04147">
        <w:rPr>
          <w:b/>
          <w:bCs/>
          <w:lang w:val="ru-KZ"/>
        </w:rPr>
        <w:t xml:space="preserve">$180 млрд. убытков или как за 1 день лопнул </w:t>
      </w:r>
      <w:proofErr w:type="spellStart"/>
      <w:r w:rsidRPr="00E04147">
        <w:rPr>
          <w:b/>
          <w:bCs/>
          <w:lang w:val="ru-KZ"/>
        </w:rPr>
        <w:t>WorldCom</w:t>
      </w:r>
      <w:proofErr w:type="spellEnd"/>
    </w:p>
    <w:p w14:paraId="50D502D1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В июле 2002 года мир потрясло банкротство телекоммуникационной компании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>, имевшей вторую по величине долю на американском рынке телефонной связи и обеспечивающей более половины интернет-трафика в США. В результате банкротства инвесторы потеряли 180 млрд долларов. </w:t>
      </w:r>
    </w:p>
    <w:p w14:paraId="16D9E279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Основатель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Берни </w:t>
      </w:r>
      <w:proofErr w:type="spellStart"/>
      <w:r w:rsidRPr="00E04147">
        <w:rPr>
          <w:lang w:val="ru-KZ"/>
        </w:rPr>
        <w:t>Эбберс</w:t>
      </w:r>
      <w:proofErr w:type="spellEnd"/>
      <w:r w:rsidRPr="00E04147">
        <w:rPr>
          <w:lang w:val="ru-KZ"/>
        </w:rPr>
        <w:t xml:space="preserve"> в 1990-е считался одним из самых ярких бизнесменов Америки. Основной стратегией </w:t>
      </w:r>
      <w:proofErr w:type="spellStart"/>
      <w:r w:rsidRPr="00E04147">
        <w:rPr>
          <w:lang w:val="ru-KZ"/>
        </w:rPr>
        <w:t>Эбберса</w:t>
      </w:r>
      <w:proofErr w:type="spellEnd"/>
      <w:r w:rsidRPr="00E04147">
        <w:rPr>
          <w:lang w:val="ru-KZ"/>
        </w:rPr>
        <w:t xml:space="preserve"> стало присоединение мелких компаний схожего профиля – путем покупки или слияния. В марте 1996 года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впервые была включена в рейтинг S&amp;P 500 агентства Standard &amp; Poor. Сделки стали еще масштабнее, а их объем начал исчисляться миллиардами долларов. В 1996 году была куплена MFS Communications. Она обошлась приблизительно $12 млрд, но дело того стоило: благодаря этой покупке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получила доступ к обширной сети оптико-волоконной связи, охватывающей крупнейшие города США и Европы. Другим стратегически важным шагом стала покупка компании </w:t>
      </w:r>
      <w:proofErr w:type="spellStart"/>
      <w:r w:rsidRPr="00E04147">
        <w:rPr>
          <w:lang w:val="ru-KZ"/>
        </w:rPr>
        <w:t>UUNet</w:t>
      </w:r>
      <w:proofErr w:type="spellEnd"/>
      <w:r w:rsidRPr="00E04147">
        <w:rPr>
          <w:lang w:val="ru-KZ"/>
        </w:rPr>
        <w:t xml:space="preserve"> Technologies – крупнейшего в мире провайдера Интернет-услуг.</w:t>
      </w:r>
    </w:p>
    <w:p w14:paraId="3FD1E791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В сентябре 1997 года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договорилась о приобретении компании </w:t>
      </w:r>
      <w:proofErr w:type="spellStart"/>
      <w:r w:rsidRPr="00E04147">
        <w:rPr>
          <w:lang w:val="ru-KZ"/>
        </w:rPr>
        <w:t>CompuServe</w:t>
      </w:r>
      <w:proofErr w:type="spellEnd"/>
      <w:r w:rsidRPr="00E04147">
        <w:rPr>
          <w:lang w:val="ru-KZ"/>
        </w:rPr>
        <w:t xml:space="preserve"> за $1,2 млрд. А еще через полтора месяца, в ноябре, было объявлено об эпохальном слиянии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и MCI. Сумма сделки составила около $40 млрд, и на тот момент это было самое крупное слияние в истории бизнеса.</w:t>
      </w:r>
    </w:p>
    <w:p w14:paraId="72AD7493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lastRenderedPageBreak/>
        <w:t xml:space="preserve">Сама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уверяла, что не ставила себе задачу побить мировой рекорд. Сделка преследовала две цели. Во-первых, </w:t>
      </w:r>
      <w:proofErr w:type="spellStart"/>
      <w:r w:rsidRPr="00E04147">
        <w:rPr>
          <w:lang w:val="ru-KZ"/>
        </w:rPr>
        <w:t>Эбберс</w:t>
      </w:r>
      <w:proofErr w:type="spellEnd"/>
      <w:r w:rsidRPr="00E04147">
        <w:rPr>
          <w:lang w:val="ru-KZ"/>
        </w:rPr>
        <w:t xml:space="preserve"> хотел увеличить капитализацию компании, а во-вторых, закрепиться на новых участках рынка телекоммуникаций. В ходе сделок </w:t>
      </w:r>
      <w:proofErr w:type="spellStart"/>
      <w:r w:rsidRPr="00E04147">
        <w:rPr>
          <w:lang w:val="ru-KZ"/>
        </w:rPr>
        <w:t>Эбберс</w:t>
      </w:r>
      <w:proofErr w:type="spellEnd"/>
      <w:r w:rsidRPr="00E04147">
        <w:rPr>
          <w:lang w:val="ru-KZ"/>
        </w:rPr>
        <w:t xml:space="preserve"> неплохо заработал: в 1999 году журнал Forbes оценил его личное состояние в $1,4 млрд.</w:t>
      </w:r>
    </w:p>
    <w:p w14:paraId="035E0F83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Но в начале 2000 года, у MCI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начались финансовые проблемы. Кризису в компании поспособствовали общий спад в телекоммуникационной индустрии и значительные долги, накопившиеся за годы «покупательской» лихорадки.</w:t>
      </w:r>
    </w:p>
    <w:p w14:paraId="4A85BB7A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Настоящий гром грянул в 2002 году. В апреле акции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опустились до позорно низкой отметки $2,35 – по сравнению с $64,5, которые за них давали в июне 1999-го. Под давлением обстоятельств Берни </w:t>
      </w:r>
      <w:proofErr w:type="spellStart"/>
      <w:r w:rsidRPr="00E04147">
        <w:rPr>
          <w:lang w:val="ru-KZ"/>
        </w:rPr>
        <w:t>Эбберс</w:t>
      </w:r>
      <w:proofErr w:type="spellEnd"/>
      <w:r w:rsidRPr="00E04147">
        <w:rPr>
          <w:lang w:val="ru-KZ"/>
        </w:rPr>
        <w:t xml:space="preserve"> был вынужден подать в отставку, и его место занял бывший вице-президент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Джон </w:t>
      </w:r>
      <w:proofErr w:type="spellStart"/>
      <w:r w:rsidRPr="00E04147">
        <w:rPr>
          <w:lang w:val="ru-KZ"/>
        </w:rPr>
        <w:t>Сиджмор</w:t>
      </w:r>
      <w:proofErr w:type="spellEnd"/>
      <w:r w:rsidRPr="00E04147">
        <w:rPr>
          <w:lang w:val="ru-KZ"/>
        </w:rPr>
        <w:t>.</w:t>
      </w:r>
    </w:p>
    <w:p w14:paraId="07761B94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Долгие годы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была клиентом крупной аудиторской фирмы Arthur Andersen, которая лишилась своей репутации в результате громкого банкротства энергетической компании Enron. После этого банкротства американских инвесторов охватила эпидемия подозрительности. Инвесторы решили повнимательнее присмотреться и к другим клиентам проштрафившегося аудитора.</w:t>
      </w:r>
    </w:p>
    <w:p w14:paraId="590CB197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25 июня 2002 года новое руководство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призналось, что данные о прибыли в 2001 году и первом квартале 2002 года были завышены на $3,9 млрд. Уже на следующий день котировки акций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упали до 9 центов за штуку, после чего руководство NASDAQ было вынуждено остановить торги. Комиссия по ценным бумагам и биржам США выдвинула против компании обвинение в мошенничестве. И даже президент Буш счел нужным вмешаться в скандал, назвав произошедшее «безобразием» и пообещав непременно наказать виновных.</w:t>
      </w:r>
    </w:p>
    <w:p w14:paraId="5705C9DE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Фондовая биржа отреагировала на негативные новости мгновенно. Капитализация компании на момент закрытия торгов 25 июня 2002 года упала по сравнению с историческим максимумом (180 млрд. долларов) на 99 процентов - до 2,7 млрд. долларов. Продажа ее ценных бумаг была прекращена. Последняя зарегистрированная цена за одну акцию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составила 83 цента. В ходе внебиржевых торгов в последующие дни акции компании рухнули до неприличных 6 центов.</w:t>
      </w:r>
    </w:p>
    <w:p w14:paraId="141E2597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В результате был нанесен чувствительный удар по сектору телекоммуникаций, а также фондовому рынку в США и за рубежом. </w:t>
      </w:r>
    </w:p>
    <w:p w14:paraId="6394C076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По мнению председателя комитета по финансам палаты представителей конгресса США Майка Оксли, в случае с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имело место «старое, доброе мошенничество». Текущие издержки - в основном затраты за услуги других компаний - словно по мановению волшебной палочки оказались в графе «капитальные вложения». По правилам финансового учета, текущие затраты должны вычитаться из доходов компании за тот год, когда они получены. Капитальные же затраты могут разноситься во времени на несколько лет, и в этом случае текущая прибыль искусственно завышается.</w:t>
      </w:r>
    </w:p>
    <w:p w14:paraId="5CA847F5" w14:textId="77777777" w:rsidR="00E04147" w:rsidRPr="00E04147" w:rsidRDefault="00E04147" w:rsidP="00E04147">
      <w:pPr>
        <w:rPr>
          <w:lang w:val="ru-KZ"/>
        </w:rPr>
      </w:pPr>
      <w:proofErr w:type="spellStart"/>
      <w:r w:rsidRPr="00E04147">
        <w:rPr>
          <w:lang w:val="ru-KZ"/>
        </w:rPr>
        <w:lastRenderedPageBreak/>
        <w:t>WorldCom</w:t>
      </w:r>
      <w:proofErr w:type="spellEnd"/>
      <w:r w:rsidRPr="00E04147">
        <w:rPr>
          <w:lang w:val="ru-KZ"/>
        </w:rPr>
        <w:t xml:space="preserve"> потратил 3,8 млрд. долларов на текущие расходы по поддержанию своего бизнеса. Но вместо того, чтобы отчитаться об этих расходах как о затратах,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заявил, что потратил их на приобретение основных фондов - оборудования и недвижимости. В течение 15 месяцев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регулярно вносил эти суммы к графу «Капитальные затраты», что позволяло разнести сумму на долгие годы. Это сделало доходы компании </w:t>
      </w:r>
      <w:proofErr w:type="spellStart"/>
      <w:r w:rsidRPr="00E04147">
        <w:rPr>
          <w:lang w:val="ru-KZ"/>
        </w:rPr>
        <w:t>WorldCom</w:t>
      </w:r>
      <w:proofErr w:type="spellEnd"/>
      <w:r w:rsidRPr="00E04147">
        <w:rPr>
          <w:lang w:val="ru-KZ"/>
        </w:rPr>
        <w:t xml:space="preserve"> (до уплаты налогов и сборов) на 3,8 млрд. долларов больше, чем они были на самом деле. </w:t>
      </w:r>
    </w:p>
    <w:p w14:paraId="3EDD5AB8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 xml:space="preserve">Суд приговорил Бернарда </w:t>
      </w:r>
      <w:proofErr w:type="spellStart"/>
      <w:r w:rsidRPr="00E04147">
        <w:rPr>
          <w:lang w:val="ru-KZ"/>
        </w:rPr>
        <w:t>Эбберса</w:t>
      </w:r>
      <w:proofErr w:type="spellEnd"/>
      <w:r w:rsidRPr="00E04147">
        <w:rPr>
          <w:lang w:val="ru-KZ"/>
        </w:rPr>
        <w:t xml:space="preserve"> к двадцати пяти годам тюрьмы. Это был самый суровый приговор, вынесенный в современной Америке по делам о корпоративных мошенничествах.</w:t>
      </w:r>
    </w:p>
    <w:p w14:paraId="4CEE2114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Подобные провалы являются серьезным потрясением и горьким уроком для всех игроков рынка. Они заставляют задуматься и пересмотреть свое отношение к риску. В современном риск-менеджменте получили наиболее широкое распространение три стандарта для управления рисками: ISO 73:2009 (определение риска: «Следствие влияния неопределенности на достижение поставленных целей», действует в России), FERMA (определение риска: «Комбинация вероятности события и его последствий») и COSO (определение риска: «Вероятность возникновения события, которое окажет отрицательное воздействие на достижение поставленных целей»). </w:t>
      </w:r>
    </w:p>
    <w:p w14:paraId="6677ED1B" w14:textId="234D3694" w:rsidR="00E04147" w:rsidRPr="00E04147" w:rsidRDefault="00E04147" w:rsidP="00E04147">
      <w:pPr>
        <w:jc w:val="center"/>
        <w:rPr>
          <w:lang w:val="ru-KZ"/>
        </w:rPr>
      </w:pPr>
      <w:r w:rsidRPr="00E04147">
        <w:rPr>
          <w:lang w:val="ru-KZ"/>
        </w:rPr>
        <w:drawing>
          <wp:inline distT="0" distB="0" distL="0" distR="0" wp14:anchorId="417DB09C" wp14:editId="4CB85259">
            <wp:extent cx="5086985" cy="3210429"/>
            <wp:effectExtent l="0" t="0" r="0" b="9525"/>
            <wp:docPr id="1493758677" name="Рисунок 3" descr="Международные стандарты управления рис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Международные стандарты управления рискам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20" cy="321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013C8" w14:textId="77777777" w:rsidR="00E04147" w:rsidRPr="00E04147" w:rsidRDefault="00E04147" w:rsidP="00E04147">
      <w:pPr>
        <w:jc w:val="center"/>
        <w:rPr>
          <w:lang w:val="ru-KZ"/>
        </w:rPr>
      </w:pPr>
      <w:r w:rsidRPr="00E04147">
        <w:rPr>
          <w:b/>
          <w:bCs/>
          <w:lang w:val="ru-KZ"/>
        </w:rPr>
        <w:t>Рис. Международные стандарты управления рисками</w:t>
      </w:r>
    </w:p>
    <w:p w14:paraId="46939382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Современные компании применяют в своей работе как один из стандартов, так и компиляцию из двух или трех или вырабатывают свои стандарты работы, обеспечивающие предотвращение высокорисковых ситуаций, которые могут привести к краху компании. Это связано с тем, что каждый бизнес может быть уникален по-своему, однако наработанная методология управления рисками позволяет применять приемы, уже успешно проверенные временем.</w:t>
      </w:r>
    </w:p>
    <w:p w14:paraId="268EB061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lastRenderedPageBreak/>
        <w:t>Рассмотрим в качестве примера основные цели управления рисками согласно стандарту COSO: </w:t>
      </w:r>
    </w:p>
    <w:p w14:paraId="4B113E06" w14:textId="77777777" w:rsidR="00E04147" w:rsidRPr="00E04147" w:rsidRDefault="00E04147" w:rsidP="00E04147">
      <w:pPr>
        <w:numPr>
          <w:ilvl w:val="0"/>
          <w:numId w:val="1"/>
        </w:numPr>
        <w:rPr>
          <w:lang w:val="ru-KZ"/>
        </w:rPr>
      </w:pPr>
      <w:r w:rsidRPr="00E04147">
        <w:rPr>
          <w:lang w:val="ru-KZ"/>
        </w:rPr>
        <w:t>выбор стратегии развития компании в соответствии с ее риск-аппетитом и учет последнего в процессе стратегического целеполагания;</w:t>
      </w:r>
    </w:p>
    <w:p w14:paraId="6F853C47" w14:textId="77777777" w:rsidR="00E04147" w:rsidRPr="00E04147" w:rsidRDefault="00E04147" w:rsidP="00E04147">
      <w:pPr>
        <w:numPr>
          <w:ilvl w:val="0"/>
          <w:numId w:val="1"/>
        </w:numPr>
        <w:rPr>
          <w:lang w:val="ru-KZ"/>
        </w:rPr>
      </w:pPr>
      <w:r w:rsidRPr="00E04147">
        <w:rPr>
          <w:lang w:val="ru-KZ"/>
        </w:rPr>
        <w:t>постоянное совершенствование процесса принятия решений по реагированию на риски, основанное на процедурах мониторинга и обработки данных об эффективности предпринятых ранее превентивных мероприятий;</w:t>
      </w:r>
    </w:p>
    <w:p w14:paraId="6566504C" w14:textId="77777777" w:rsidR="00E04147" w:rsidRPr="00E04147" w:rsidRDefault="00E04147" w:rsidP="00E04147">
      <w:pPr>
        <w:numPr>
          <w:ilvl w:val="0"/>
          <w:numId w:val="1"/>
        </w:numPr>
        <w:rPr>
          <w:lang w:val="ru-KZ"/>
        </w:rPr>
      </w:pPr>
      <w:r w:rsidRPr="00E04147">
        <w:rPr>
          <w:lang w:val="ru-KZ"/>
        </w:rPr>
        <w:t>снижение числа непредвиденных событий и размера убытков;</w:t>
      </w:r>
    </w:p>
    <w:p w14:paraId="21237204" w14:textId="77777777" w:rsidR="00E04147" w:rsidRPr="00E04147" w:rsidRDefault="00E04147" w:rsidP="00E04147">
      <w:pPr>
        <w:numPr>
          <w:ilvl w:val="0"/>
          <w:numId w:val="1"/>
        </w:numPr>
        <w:rPr>
          <w:lang w:val="ru-KZ"/>
        </w:rPr>
      </w:pPr>
      <w:r w:rsidRPr="00E04147">
        <w:rPr>
          <w:lang w:val="ru-KZ"/>
        </w:rPr>
        <w:t>рациональное использование капитала.</w:t>
      </w:r>
    </w:p>
    <w:p w14:paraId="67D9C756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Данные цели и определяют задачи, решаемые в ходе управления рисками. При этом одной из основных задач является профилактика возникновения рисков во всем их разнообразии. </w:t>
      </w:r>
    </w:p>
    <w:p w14:paraId="28C11DD0" w14:textId="77777777" w:rsidR="00E04147" w:rsidRPr="00E04147" w:rsidRDefault="00E04147" w:rsidP="00E04147">
      <w:pPr>
        <w:rPr>
          <w:lang w:val="ru-KZ"/>
        </w:rPr>
      </w:pPr>
      <w:r w:rsidRPr="00E04147">
        <w:rPr>
          <w:lang w:val="ru-KZ"/>
        </w:rPr>
        <w:t>Кроме того, поставленный процесс управления рисками решает задачу минимизации ущерба, наносимого компании инцидентами, связанными с наступлением рисковых событий. Также важнейшей задачей по управлению рисками является максимизация дополнительной прибыли, обеспечивающейся за счет усиления «положительных» рисков.</w:t>
      </w:r>
    </w:p>
    <w:p w14:paraId="7933D475" w14:textId="77777777" w:rsidR="004C2EDD" w:rsidRPr="00E04147" w:rsidRDefault="004C2EDD">
      <w:pPr>
        <w:rPr>
          <w:lang w:val="ru-KZ"/>
        </w:rPr>
      </w:pPr>
    </w:p>
    <w:sectPr w:rsidR="004C2EDD" w:rsidRPr="00E04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0D58"/>
    <w:multiLevelType w:val="multilevel"/>
    <w:tmpl w:val="4EE2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2127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65"/>
    <w:rsid w:val="00056DD1"/>
    <w:rsid w:val="004C2EDD"/>
    <w:rsid w:val="00691565"/>
    <w:rsid w:val="006B74D8"/>
    <w:rsid w:val="009B479D"/>
    <w:rsid w:val="00E04147"/>
    <w:rsid w:val="00F4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F8E1"/>
  <w15:chartTrackingRefBased/>
  <w15:docId w15:val="{80ECC879-FFE5-43C4-AD25-C7A413A7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15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5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5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5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5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5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5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5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5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5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1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15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15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15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15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15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15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15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15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1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15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1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15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15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15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15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15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15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15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1507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2026-10-06T08:01:00Z</dcterms:created>
  <dcterms:modified xsi:type="dcterms:W3CDTF">2026-10-06T08:02:00Z</dcterms:modified>
</cp:coreProperties>
</file>